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4"/>
          <w:szCs w:val="24"/>
          <w:u w:val="none"/>
          <w:shd w:fill="auto" w:val="clear"/>
          <w:vertAlign w:val="baseline"/>
          <w:rtl w:val="0"/>
        </w:rPr>
        <w:t xml:space="preserve">FORMULARUL </w:t>
      </w:r>
      <w:r>
        <w:rPr>
          <w:rFonts w:ascii="Arial" w:cs="Arial" w:eastAsia="Arial" w:hAnsi="Arial"/>
          <w:b w:val="1"/>
          <w:bCs w:val="1"/>
          <w:i w:val="0"/>
          <w:iCs w:val="0"/>
          <w:smallCaps w:val="0"/>
          <w:strike w:val="0"/>
          <w:color w:val="000000"/>
          <w:sz w:val="22"/>
          <w:szCs w:val="22"/>
          <w:u w:val="none"/>
          <w:shd w:fill="auto" w:val="clear"/>
          <w:vertAlign w:val="baseline"/>
          <w:rtl w:val="0"/>
        </w:rPr>
        <w:t xml:space="preserve">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RONPA0764ZPB</w:t>
      </w:r>
      <w:r>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Pajiștea cu narcise Bătești</w:t>
      </w:r>
      <w:r>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r>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r>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r>
        <w:rPr>
          <w:rtl w:val="0"/>
        </w:rPr>
      </w:r>
    </w:p>
    <w:tbl>
      <w:tblPr>
        <w:tblStyle w:val="Table1"/>
        <w:tblW w:w="9000.0" w:type="dxa"/>
        <w:jc w:val="left"/>
        <w:tblInd w:w="-108.0" w:type="dxa"/>
        <w:tblLayout w:type="fixed"/>
        <w:tblLook w:val="0000"/>
      </w:tblPr>
      <w:tblGrid>
        <w:gridCol w:w="4501"/>
        <w:gridCol w:w="4499"/>
      </w:tblGrid>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Pr>
                <w:rtl w:val="0"/>
              </w:rPr>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Pr>
                <w:rtl w:val="0"/>
              </w:rPr>
            </w:r>
          </w:p>
        </w:tc>
      </w:tr>
      <w:tr>
        <w:trPr>
          <w:cantSplit w:val="0"/>
          <w:tblHeader w:val="0"/>
        </w:trPr>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bl>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r>
        <w:rPr>
          <w:rtl w:val="0"/>
        </w:rPr>
      </w:r>
    </w:p>
    <w:p w:rsidR="00000000" w:rsidDel="00000000" w:rsidP="00000000" w:rsidRDefault="00000000" w:rsidRPr="00000000" w14:paraId="000000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Pr>
          <w:rtl w:val="0"/>
        </w:rPr>
      </w:r>
    </w:p>
    <w:tbl>
      <w:tblPr>
        <w:tblStyle w:val="Table4"/>
        <w:tblW w:w="9000.0" w:type="dxa"/>
        <w:jc w:val="left"/>
        <w:tblInd w:w="-108.0" w:type="dxa"/>
        <w:tblLayout w:type="fixed"/>
        <w:tblLook w:val="0000"/>
      </w:tblPr>
      <w:tblGrid>
        <w:gridCol w:w="4465"/>
        <w:gridCol w:w="4535"/>
      </w:tblGrid>
      <w:tr>
        <w:trPr>
          <w:cantSplit w:val="0"/>
          <w:tblHeader w:val="0"/>
        </w:trPr>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r>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b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r>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r>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23,05</w:t>
      </w:r>
      <w:r>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protejate/OECM</w:t>
      </w:r>
      <w:r>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100,00%</w:t>
      </w:r>
      <w:r>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Pr>
          <w:rtl w:val="0"/>
        </w:rPr>
      </w:r>
    </w:p>
    <w:tbl>
      <w:tblPr>
        <w:tblStyle w:val="Table6"/>
        <w:tblW w:w="9000.0" w:type="dxa"/>
        <w:jc w:val="left"/>
        <w:tblInd w:w="-108.0" w:type="dxa"/>
        <w:tblLayout w:type="fixed"/>
        <w:tblLook w:val="0000"/>
      </w:tblPr>
      <w:tblGrid>
        <w:gridCol w:w="3164"/>
        <w:gridCol w:w="445"/>
        <w:gridCol w:w="5391"/>
      </w:tblGrid>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r>
              <w:rPr>
                <w:rtl w:val="0"/>
              </w:rPr>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RO42</w:t>
            </w:r>
            <w:r>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Vest</w:t>
            </w:r>
            <w:r>
              <w:rPr>
                <w:rtl w:val="0"/>
              </w:rPr>
            </w:r>
          </w:p>
        </w:tc>
      </w:tr>
    </w:tb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r>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Timiș</w:t>
      </w:r>
      <w:r>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r>
        <w:rPr>
          <w:rtl w:val="0"/>
        </w:rPr>
      </w:r>
    </w:p>
    <w:tbl>
      <w:tblPr>
        <w:tblStyle w:val="Table7"/>
        <w:tblW w:w="9000.0" w:type="dxa"/>
        <w:jc w:val="left"/>
        <w:tblInd w:w="-108.0" w:type="dxa"/>
        <w:tblLayout w:type="fixed"/>
        <w:tblLook w:val="0000"/>
      </w:tblPr>
      <w:tblGrid>
        <w:gridCol w:w="2810"/>
        <w:gridCol w:w="236"/>
        <w:gridCol w:w="2881"/>
        <w:gridCol w:w="236"/>
        <w:gridCol w:w="2837"/>
      </w:tblGrid>
      <w:tr>
        <w:trPr>
          <w:cantSplit w:val="0"/>
          <w:tblHeader w:val="0"/>
        </w:trPr>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r>
              <w:rPr>
                <w:rtl w:val="0"/>
              </w:rPr>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r>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r>
              <w:rPr>
                <w:rtl w:val="0"/>
              </w:rPr>
            </w:r>
          </w:p>
        </w:tc>
      </w:tr>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r>
              <w:rPr>
                <w:rtl w:val="0"/>
              </w:rPr>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r>
              <w:rPr>
                <w:rtl w:val="0"/>
              </w:rPr>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r>
              <w:rPr>
                <w:rtl w:val="0"/>
              </w:rPr>
            </w:r>
          </w:p>
        </w:tc>
      </w:tr>
    </w:tbl>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protejate/OECM</w:t>
      </w:r>
      <w:r>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protejate/OECM:</w:t>
      </w:r>
      <w:r>
        <w:rPr>
          <w:rtl w:val="0"/>
        </w:rPr>
      </w:r>
    </w:p>
    <w:p w:rsidR="00000000" w:rsidDel="00000000" w:rsidP="00000000" w:rsidRDefault="00000000" w:rsidRPr="00000000" w14:paraId="0000006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r>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23,05</w:t>
      </w:r>
      <w:r>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Pr>
          <w:rtl w:val="0"/>
        </w:rPr>
      </w:r>
    </w:p>
    <w:p w:rsidR="00000000" w:rsidDel="00000000" w:rsidP="00000000" w:rsidRDefault="00000000" w:rsidRPr="00000000" w14:paraId="0000006C">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rezervației naturale RONPA0764 Pajiștea cu narcise Bătești;</w:t>
      </w:r>
    </w:p>
    <w:p w:rsidR="00000000" w:rsidDel="00000000" w:rsidP="00000000" w:rsidRDefault="00000000" w:rsidRPr="00000000" w14:paraId="0000006D">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sdt>
        <w:sdtPr>
          <w:id w:val="-2085174646"/>
          <w:tag w:val="goog_rdk_0"/>
        </w:sdtP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w:r>
    </w:p>
    <w:p w:rsidR="00000000" w:rsidDel="00000000" w:rsidP="00000000" w:rsidRDefault="00000000" w:rsidRPr="00000000" w14:paraId="10662026">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sdt>
        <w:sdtPr>
          <w:id w:val="-2085174646"/>
          <w:tag w:val="goog_rdk_0"/>
        </w:sdtP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w:r>
      <w:r/>
      <w:r>
        <w:rPr>
          <w:rFonts w:ascii="Arial" w:cs="Arial" w:eastAsia="Arial" w:hAnsi="Arial"/>
          <w:b w:val="0"/>
          <w:bCs w:val="0"/>
          <w:i w:val="0"/>
          <w:iCs w:val="0"/>
          <w:smallCaps w:val="0"/>
          <w:strike w:val="0"/>
          <w:color w:val="000000"/>
          <w:sz w:val="22"/>
          <w:szCs w:val="22"/>
          <w:u w:val="none"/>
          <w:shd w:fill="auto" w:val="clear"/>
          <w:vertAlign w:val="baseline"/>
          <w:rtl w:val="0"/>
        </w:rPr>
        <w:t xml:space="preserve"/>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r>
        <w:rPr>
          <w:rtl w:val="0"/>
        </w:rPr>
      </w:r>
    </w:p>
    <w:tbl>
      <w:tblPr>
        <w:tblStyle w:val="Table8"/>
        <w:tblW w:w="9000.0" w:type="dxa"/>
        <w:jc w:val="left"/>
        <w:tblInd w:w="-108.0" w:type="dxa"/>
        <w:tblLayout w:type="fixed"/>
        <w:tblLook w:val="0000"/>
      </w:tblPr>
      <w:tblGrid>
        <w:gridCol w:w="4485"/>
        <w:gridCol w:w="451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pajiști umede seminaturale cu ierburi înalte:</w:t>
            </w:r>
            <w:r>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6410 Pajişti cu Molinia pe soluri carbonatice, turboase sau luto-argiloase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Molinion caeruleae</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pajiști mezofile:</w:t>
            </w:r>
            <w:r>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6510 Fânețe de joasă altitudine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Alopecurus pratensis</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Sanguisorba officinalis</w:t>
            </w:r>
            <w:r>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Pr>
                <w:rFonts w:ascii="Arial" w:cs="Arial" w:eastAsia="Arial" w:hAnsi="Arial"/>
                <w:b w:val="0"/>
                <w:bCs w:val="0"/>
                <w:i w:val="1"/>
                <w:iCs w:val="1"/>
                <w:smallCaps w:val="0"/>
                <w:strike w:val="0"/>
                <w:color w:val="000000"/>
                <w:sz w:val="22"/>
                <w:szCs w:val="22"/>
                <w:u w:val="none"/>
                <w:shd w:fill="auto" w:val="clear"/>
                <w:vertAlign w:val="baseline"/>
                <w:rtl w:val="0"/>
              </w:rPr>
              <w:t xml:space="preserve">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Cirsium canum</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Fritillaria meleagris</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Fritillaria meleagris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Gentiana cruciata</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Gratiola officinalis</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Iris sibirica</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Lychnis flos-cuculi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Molinia caerulea</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Narcissus poeticus</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Oenanthe banatica</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Peucedanum rochelianum</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Peucedanum rochelianum</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Polygonum bistorta</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Sanguisorba officinalis</w:t>
            </w:r>
            <w:r>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 și reptile:</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1188 Bombina bombina</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1263 Lacerta viridis</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1292 Natrix tessellata</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6938 Pelophylax ridibundus</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1209 Rana dalmatina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Zona include ecosisteme de pajiști semi-naturale cu valoare conservativă ridicată, caracterizate prin diversitate floristică remarcabilă și prin menținerea unor condiții ecologice specifice fânețelor și pajiștilor umede tradiționale. Structura vegetației și regimul de utilizare extensivă au permis conservarea unor comunități vegetale bine dezvoltate și a proceselor ecologice caracteristice acestor ecosisteme.</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 a zonei este susținută de prezența unor specii de plante de interes conservativ și de rolul habitatelor în menținerea biodiversității asociate ecosistemelor deschise. Totodată, habitatele existente oferă condiții favorabile pentru specii de amfibieni și reptile dependente de pajiști umede, zone temporar inundate și microhabitate cu umiditate ridicată.</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Importanța conservativă a zonei este evidențiată și de suprapunerea cu o rezervație naturală, relevantă pentru conservarea patrimoniului natural și a biodiversității asociate acestor ecosisteme tradiționale.</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Desemnarea ca ZPB se fundamentează pe criteriul stabilit de metodologie pentru rezervațiile naturale, precum și pe prezența habitatelor și speciilor de interes conservativ asociate ecosistemelor de pajiști semi-naturale.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J01.01 Incendii</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0"/>
                <w:bCs w:val="0"/>
                <w:i w:val="0"/>
                <w:iCs w:val="0"/>
                <w:smallCaps w:val="0"/>
                <w:strike w:val="0"/>
                <w:color w:val="000000"/>
                <w:sz w:val="22"/>
                <w:szCs w:val="22"/>
                <w:u w:val="none"/>
                <w:shd w:fill="auto" w:val="clear"/>
                <w:vertAlign w:val="baseline"/>
                <w:rtl w:val="0"/>
              </w:rPr>
              <w:t xml:space="preserve">J02.03 Canalizare și deviere de apă</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Obiective și măsuri pentru habitatele de pajiști seminaturale din ZPB – regim de management activ</w:t>
            </w:r>
            <w:r>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Obiectiv general de conservare</w:t>
            </w:r>
            <w:r>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Obiective specifice:</w:t>
            </w:r>
            <w:r>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O1.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Menținerea suprafețelor de pajiști și prevenirea abandonului sau conversiei către alte categorii de folosință.</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O2.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Menținerea unei structuri mozaicate favorabile biodiversității.</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O3.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Evitarea degradării habitatelor prin suprapășunat, subpășunat, compactarea solului și eroziune.</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O4.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Limitarea utilizării substanțelor chimice și prevenirea eutrofizării habitatelor.</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O5.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Controlul speciilor invazive și limitarea instalării vegetației lemnoase.</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O6.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Monitorizarea utilizării habitatelor și adaptarea managementului în funcție de rezultate.</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Măsuri de conservare:</w:t>
            </w:r>
            <w:r>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2.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3.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Cosirea se realizează astfel încât să permită retragerea faunei, menținându-se anual suprafețe-refugiu necosite temporar.</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4.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În zonele sensibile lucrările de cosit se realizează cu metode prin care se evită compactarea solului și degradarea microreliefului.</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5.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6.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7.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8.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Se evită atât suprapășunatul, cât și subpășunatul, precum și concentrarea excesivă a animalelor în zone sensibile ale habitatului.</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9.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10.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11.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Târlitul se realizează controlat și cu schimbarea periodică a amplasamentelor, evitându-se apariția suprafețelor nitrofile și degradarea habitatului.</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12.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Vegetația lemnoasă invadantă se îndepărtează selectiv și periodic, menținându-se elementele cu rol ecologic, antierozional sau de refugiu pentru specii.</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13.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Speciile invazive se monitorizează și se controlează prin metode mecanice și măsuri cu impact redus asupra habitatelor naturale.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14.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15.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Se mențin structurile de habitat favorabile biodiversității, inclusiv tufărișurile dispersate, arborii izolați, gardurile vii și zonele de ecoton.</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16.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Activitățile turistice și recreative se desfășoară fără afectarea habitatelor și a speciilor de interes conservativ.</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17. </w:t>
            </w:r>
            <w:r>
              <w:rPr>
                <w:rFonts w:ascii="Arial" w:cs="Arial" w:eastAsia="Arial" w:hAnsi="Arial"/>
                <w:b w:val="0"/>
                <w:bCs w:val="0"/>
                <w:i w:val="0"/>
                <w:iCs w:val="0"/>
                <w:smallCaps w:val="0"/>
                <w:strike w:val="0"/>
                <w:color w:val="000000"/>
                <w:sz w:val="20"/>
                <w:szCs w:val="20"/>
                <w:u w:val="none"/>
                <w:shd w:fill="auto" w:val="clear"/>
                <w:vertAlign w:val="baseline"/>
                <w:rtl w:val="0"/>
              </w:rPr>
              <w:t xml:space="preserve">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Privată</w:t>
            </w:r>
            <w:r>
              <w:rPr>
                <w:rtl w:val="0"/>
              </w:rPr>
            </w:r>
          </w:p>
        </w:tc>
      </w:tr>
    </w:tbl>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r>
        <w:rPr>
          <w:rtl w:val="0"/>
        </w:rPr>
      </w:r>
    </w:p>
    <w:p w:rsidR="00000000" w:rsidDel="00000000" w:rsidP="00000000" w:rsidRDefault="00000000" w:rsidRPr="00000000" w14:paraId="000000B4">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Stoenescu, Ş.M., Şchiop, A., Dica, I., Popescu, E., Patrichi, E., Ţepeş, E.  1966. Atlasul climatologic al R. S. R;</w:t>
      </w:r>
    </w:p>
    <w:p w:rsidR="00000000" w:rsidDel="00000000" w:rsidP="00000000" w:rsidRDefault="00000000" w:rsidRPr="00000000" w14:paraId="000000B5">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r>
        <w:rPr>
          <w:rtl w:val="0"/>
        </w:rPr>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3 februarie 2025 – Timișoara.</w:t>
      </w:r>
    </w:p>
    <w:p w:rsidR="00000000" w:rsidDel="00000000" w:rsidP="00000000" w:rsidRDefault="00000000" w:rsidRPr="00000000" w14:paraId="000000BB">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Pr>
          <w:rFonts w:ascii="Arial" w:cs="Arial" w:eastAsia="Arial" w:hAnsi="Arial"/>
          <w:b w:val="1"/>
          <w:bCs w:val="1"/>
          <w:i w:val="0"/>
          <w:iCs w:val="0"/>
          <w:smallCaps w:val="0"/>
          <w:strike w:val="0"/>
          <w:color w:val="000000"/>
          <w:sz w:val="22"/>
          <w:szCs w:val="22"/>
          <w:u w:val="none"/>
          <w:shd w:fill="auto" w:val="clear"/>
          <w:vertAlign w:val="baseline"/>
          <w:rtl w:val="0"/>
        </w:rPr>
        <w:t xml:space="preserve">10 decembrie 2025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Timiș. De asemenea au avut loc consultări fizice cu participarea factorilor interesați relevanți dup cum urmează: În ziua de </w:t>
      </w:r>
      <w:r>
        <w:rPr>
          <w:rFonts w:ascii="Arial" w:cs="Arial" w:eastAsia="Arial" w:hAnsi="Arial"/>
          <w:b w:val="1"/>
          <w:bCs w:val="1"/>
          <w:i w:val="0"/>
          <w:iCs w:val="0"/>
          <w:smallCaps w:val="0"/>
          <w:strike w:val="0"/>
          <w:color w:val="000000"/>
          <w:sz w:val="22"/>
          <w:szCs w:val="22"/>
          <w:u w:val="none"/>
          <w:shd w:fill="auto" w:val="clear"/>
          <w:vertAlign w:val="baseline"/>
          <w:rtl w:val="0"/>
        </w:rPr>
        <w:t xml:space="preserve">10 decembrie 2025</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au avut loc consultări la prefectura Timiș cu reprezentanții fiecărui UAT din județ.</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9">
        <w:r>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https://mmediu.ro/domenii/mediu/arii-naturale-protejate/zpb-pnrr-i3/rezultatele-proiectului/</w:t>
        </w:r>
      </w:hyperlink>
      <w:r>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2rPXtPzQ0aRgLLeeXWM41jqUow==">CgMxLjAaJwoBMBIiCiAIBCocCgtBQUFCOXR5b3RsSRAIGgtBQUFCOXR5b3RsSSLlAQoLQUFBQjl0eW90bEkStQEKC0FBQUI5dHlvdGxJEgtBQUFCOXR5b3RsSRoUCgl0ZXh0L2h0bWwSB29tIDEwNjYiFQoKdGV4dC9wbGFpbhIHb20gMTA2NiobIhUxMTc0MDMyMTMxNzcyMDQxNDYzNTYoADgAMMayiYPtMzjGsomD7TNKGAoKdGV4dC9wbGFpbhIKdWx0ZXJpb2FyZVoMYjk5dmk3dm9iN2w0cgIgAHgAmgEGCAAQABgAqgEJEgdvbSAxMDY2GMayiYPtMyDGsomD7TNCEGtpeC5zbTIwbnAzeTBkaGw4AHIhMUg0VldudmlzcmZaQWR6NVcyYUNOR21CTURkaG1rRFN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